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C90717" w14:textId="5A17A40E" w:rsidR="00E46B58" w:rsidRPr="00DD513C" w:rsidRDefault="00E46B58" w:rsidP="00E46B58">
      <w:pPr>
        <w:pStyle w:val="PlainText"/>
        <w:rPr>
          <w:rFonts w:ascii="Times New Roman" w:eastAsiaTheme="minorHAnsi" w:hAnsi="Times New Roman" w:cs="Times New Roman"/>
          <w:sz w:val="22"/>
          <w:szCs w:val="22"/>
        </w:rPr>
      </w:pPr>
      <w:r w:rsidRPr="00DD513C">
        <w:rPr>
          <w:rFonts w:ascii="Times New Roman" w:eastAsiaTheme="minorHAnsi" w:hAnsi="Times New Roman" w:cs="Times New Roman"/>
          <w:sz w:val="22"/>
          <w:szCs w:val="22"/>
        </w:rPr>
        <w:t xml:space="preserve">In accordance </w:t>
      </w:r>
      <w:r w:rsidR="00B55C7B">
        <w:rPr>
          <w:rFonts w:ascii="Times New Roman" w:eastAsiaTheme="minorHAnsi" w:hAnsi="Times New Roman" w:cs="Times New Roman"/>
          <w:sz w:val="22"/>
          <w:szCs w:val="22"/>
        </w:rPr>
        <w:t xml:space="preserve">PIH 2017-13 and </w:t>
      </w:r>
      <w:r w:rsidRPr="00DD513C">
        <w:rPr>
          <w:rFonts w:ascii="Times New Roman" w:eastAsiaTheme="minorHAnsi" w:hAnsi="Times New Roman" w:cs="Times New Roman"/>
          <w:sz w:val="22"/>
          <w:szCs w:val="22"/>
        </w:rPr>
        <w:t xml:space="preserve">24 CFR Part 35 and 40 CFR Part 745, Lead; Requirements for Disclosure of Known Lead-Based Paint and/or </w:t>
      </w:r>
      <w:r w:rsidRPr="00DD513C">
        <w:rPr>
          <w:rFonts w:ascii="Times New Roman" w:hAnsi="Times New Roman" w:cs="Times New Roman"/>
          <w:sz w:val="22"/>
          <w:szCs w:val="22"/>
        </w:rPr>
        <w:t xml:space="preserve">Lead-Based Paint Hazards in </w:t>
      </w:r>
      <w:r w:rsidRPr="00DD513C">
        <w:rPr>
          <w:rFonts w:ascii="Times New Roman" w:eastAsiaTheme="minorHAnsi" w:hAnsi="Times New Roman" w:cs="Times New Roman"/>
          <w:sz w:val="22"/>
          <w:szCs w:val="22"/>
        </w:rPr>
        <w:t xml:space="preserve">Housing, Dania Beach Housing Authority has the following policy.  </w:t>
      </w:r>
    </w:p>
    <w:p w14:paraId="4321C7E9" w14:textId="77777777" w:rsidR="00E46B58" w:rsidRPr="00DD513C" w:rsidRDefault="00E46B58" w:rsidP="00E46B58">
      <w:pPr>
        <w:pStyle w:val="PlainText"/>
        <w:rPr>
          <w:rFonts w:ascii="Times New Roman" w:eastAsiaTheme="minorHAnsi" w:hAnsi="Times New Roman" w:cs="Times New Roman"/>
          <w:sz w:val="22"/>
          <w:szCs w:val="22"/>
        </w:rPr>
      </w:pPr>
    </w:p>
    <w:p w14:paraId="01FF0539" w14:textId="77777777" w:rsidR="002C35D7" w:rsidRPr="00DD513C" w:rsidRDefault="00E46B58" w:rsidP="00E46B58">
      <w:pPr>
        <w:pStyle w:val="PlainText"/>
        <w:rPr>
          <w:rFonts w:ascii="Times New Roman" w:eastAsiaTheme="minorHAnsi" w:hAnsi="Times New Roman" w:cs="Times New Roman"/>
          <w:sz w:val="22"/>
          <w:szCs w:val="22"/>
        </w:rPr>
      </w:pPr>
      <w:r w:rsidRPr="00DD513C">
        <w:rPr>
          <w:rFonts w:ascii="Times New Roman" w:eastAsiaTheme="minorHAnsi" w:hAnsi="Times New Roman" w:cs="Times New Roman"/>
          <w:sz w:val="22"/>
          <w:szCs w:val="22"/>
        </w:rPr>
        <w:t>The goal of the housing choice voucher program is to provide “decent, safe and sanitary” housing at an affordable cost to low-income families. To accomplish this, program regulations set forth basic housing quality standards (HQS) which all units must meet before assistance can be paid on behalf of a family and at least annually throughout the term of the assisted tenancy. HQS defines “standard housing” and establishes the minimum criteria necessary for the health and safety of program participants.</w:t>
      </w:r>
    </w:p>
    <w:p w14:paraId="2F780B70" w14:textId="77777777" w:rsidR="00E46DDA" w:rsidRPr="00DD513C" w:rsidRDefault="00E46DDA" w:rsidP="00E46B58">
      <w:pPr>
        <w:pStyle w:val="PlainText"/>
        <w:rPr>
          <w:rFonts w:ascii="Times New Roman" w:eastAsiaTheme="minorHAnsi" w:hAnsi="Times New Roman" w:cs="Times New Roman"/>
          <w:sz w:val="22"/>
          <w:szCs w:val="22"/>
        </w:rPr>
      </w:pPr>
    </w:p>
    <w:p w14:paraId="2B5B9637" w14:textId="7E496502" w:rsidR="00F2762E" w:rsidRDefault="00E46DDA" w:rsidP="00E46B58">
      <w:pPr>
        <w:pStyle w:val="PlainText"/>
        <w:rPr>
          <w:rFonts w:ascii="Times New Roman" w:eastAsiaTheme="minorHAnsi" w:hAnsi="Times New Roman" w:cs="Times New Roman"/>
          <w:sz w:val="22"/>
          <w:szCs w:val="22"/>
        </w:rPr>
      </w:pPr>
      <w:r w:rsidRPr="00DD513C">
        <w:rPr>
          <w:rFonts w:ascii="Times New Roman" w:eastAsiaTheme="minorHAnsi" w:hAnsi="Times New Roman" w:cs="Times New Roman"/>
          <w:sz w:val="22"/>
          <w:szCs w:val="22"/>
        </w:rPr>
        <w:t xml:space="preserve">During initial and annual inspections of pre-1978 units that are occupied or will be occupied by families with children under 6 years of age, the </w:t>
      </w:r>
      <w:r w:rsidR="00E63DCB" w:rsidRPr="00DD513C">
        <w:rPr>
          <w:rFonts w:ascii="Times New Roman" w:eastAsiaTheme="minorHAnsi" w:hAnsi="Times New Roman" w:cs="Times New Roman"/>
          <w:sz w:val="22"/>
          <w:szCs w:val="22"/>
        </w:rPr>
        <w:t xml:space="preserve">DBHA </w:t>
      </w:r>
      <w:r w:rsidRPr="00DD513C">
        <w:rPr>
          <w:rFonts w:ascii="Times New Roman" w:eastAsiaTheme="minorHAnsi" w:hAnsi="Times New Roman" w:cs="Times New Roman"/>
          <w:sz w:val="22"/>
          <w:szCs w:val="22"/>
        </w:rPr>
        <w:t xml:space="preserve">inspector must conduct a visual assessment for deteriorated paint surfaces and the owner must stabilize deteriorated surfaces. Applicable areas include painted surfaces within the dwelling unit, exterior painted surfaces associated with the dwelling unit, and common areas of the building through which residents must pass to gain access to the unit and areas frequented by resident children under six years of age, including play areas and </w:t>
      </w:r>
      <w:r w:rsidR="000D06C3" w:rsidRPr="00DD513C">
        <w:rPr>
          <w:rFonts w:ascii="Times New Roman" w:eastAsiaTheme="minorHAnsi" w:hAnsi="Times New Roman" w:cs="Times New Roman"/>
          <w:sz w:val="22"/>
          <w:szCs w:val="22"/>
        </w:rPr>
        <w:t>childcare</w:t>
      </w:r>
      <w:r w:rsidRPr="00DD513C">
        <w:rPr>
          <w:rFonts w:ascii="Times New Roman" w:eastAsiaTheme="minorHAnsi" w:hAnsi="Times New Roman" w:cs="Times New Roman"/>
          <w:sz w:val="22"/>
          <w:szCs w:val="22"/>
        </w:rPr>
        <w:t xml:space="preserve"> facilities.</w:t>
      </w:r>
    </w:p>
    <w:p w14:paraId="3C286F4C" w14:textId="76428894" w:rsidR="00B55C7B" w:rsidRDefault="00B55C7B" w:rsidP="00E46B58">
      <w:pPr>
        <w:pStyle w:val="PlainText"/>
        <w:rPr>
          <w:rFonts w:ascii="Times New Roman" w:eastAsiaTheme="minorHAnsi" w:hAnsi="Times New Roman" w:cs="Times New Roman"/>
          <w:sz w:val="22"/>
          <w:szCs w:val="22"/>
        </w:rPr>
      </w:pPr>
    </w:p>
    <w:p w14:paraId="70F4359B" w14:textId="77777777" w:rsidR="00B55C7B" w:rsidRDefault="00B55C7B" w:rsidP="00E46B58">
      <w:pPr>
        <w:pStyle w:val="PlainText"/>
        <w:rPr>
          <w:rFonts w:ascii="Times New Roman" w:eastAsiaTheme="minorHAnsi" w:hAnsi="Times New Roman" w:cs="Times New Roman"/>
          <w:sz w:val="22"/>
          <w:szCs w:val="22"/>
        </w:rPr>
      </w:pPr>
      <w:r w:rsidRPr="00B55C7B">
        <w:rPr>
          <w:rFonts w:ascii="Times New Roman" w:eastAsiaTheme="minorHAnsi" w:hAnsi="Times New Roman" w:cs="Times New Roman"/>
          <w:sz w:val="22"/>
          <w:szCs w:val="22"/>
        </w:rPr>
        <w:t xml:space="preserve">Lead Poisoning Childhood lead poisoning has serious negative consequences on childhood growth and development. The U.S. Centers for Disease Control and Prevention (CDC) has consistently affirmed that deteriorated lead-based paint and lead-contaminated dust are the most hazardous sources of lead exposure in children. Lead-based paint can be found in homes built before 1978, with an increased prevalence in very old homes with original painted windows, doors, and trim (Jacobs et al., 2002; Cox et al., 2015). </w:t>
      </w:r>
    </w:p>
    <w:p w14:paraId="5A8E0753" w14:textId="77777777" w:rsidR="00B55C7B" w:rsidRDefault="00B55C7B" w:rsidP="00E46B58">
      <w:pPr>
        <w:pStyle w:val="PlainText"/>
        <w:rPr>
          <w:rFonts w:ascii="Times New Roman" w:eastAsiaTheme="minorHAnsi" w:hAnsi="Times New Roman" w:cs="Times New Roman"/>
          <w:sz w:val="22"/>
          <w:szCs w:val="22"/>
        </w:rPr>
      </w:pPr>
    </w:p>
    <w:p w14:paraId="717E8B07" w14:textId="1AF71FC7" w:rsidR="00B55C7B" w:rsidRPr="00DD513C" w:rsidRDefault="00B55C7B" w:rsidP="00E46B58">
      <w:pPr>
        <w:pStyle w:val="PlainText"/>
        <w:rPr>
          <w:rFonts w:ascii="Times New Roman" w:eastAsiaTheme="minorHAnsi" w:hAnsi="Times New Roman" w:cs="Times New Roman"/>
          <w:sz w:val="22"/>
          <w:szCs w:val="22"/>
        </w:rPr>
      </w:pPr>
      <w:r w:rsidRPr="00B55C7B">
        <w:rPr>
          <w:rFonts w:ascii="Times New Roman" w:eastAsiaTheme="minorHAnsi" w:hAnsi="Times New Roman" w:cs="Times New Roman"/>
          <w:sz w:val="22"/>
          <w:szCs w:val="22"/>
        </w:rPr>
        <w:t xml:space="preserve">In 2012, the CDC lowered its reference level for lead in the blood of children under age 6 to 5 micrograms of lead per deciliter of </w:t>
      </w:r>
      <w:r w:rsidR="000D06C3" w:rsidRPr="00B55C7B">
        <w:rPr>
          <w:rFonts w:ascii="Times New Roman" w:eastAsiaTheme="minorHAnsi" w:hAnsi="Times New Roman" w:cs="Times New Roman"/>
          <w:sz w:val="22"/>
          <w:szCs w:val="22"/>
        </w:rPr>
        <w:t>blood and</w:t>
      </w:r>
      <w:r w:rsidRPr="00B55C7B">
        <w:rPr>
          <w:rFonts w:ascii="Times New Roman" w:eastAsiaTheme="minorHAnsi" w:hAnsi="Times New Roman" w:cs="Times New Roman"/>
          <w:sz w:val="22"/>
          <w:szCs w:val="22"/>
        </w:rPr>
        <w:t xml:space="preserve"> provided guidance for health departments and medical professionals at www.cdc.gov/nceh/lead/acclpp/cdc_response_lead_exposure_recs.pdf. On January 13, 2017, HUD amended the LSHR to align it with CDC’s updated guidance. Consistent with CDC’s guidance, </w:t>
      </w:r>
      <w:r w:rsidRPr="00B55C7B">
        <w:rPr>
          <w:rFonts w:ascii="Times New Roman" w:eastAsiaTheme="minorHAnsi" w:hAnsi="Times New Roman" w:cs="Times New Roman"/>
          <w:b/>
          <w:bCs/>
          <w:sz w:val="22"/>
          <w:szCs w:val="22"/>
        </w:rPr>
        <w:t>HUD is now using the reference level of 5 micrograms per deciliter to identify children with an EBLL. This new level is the blood lead level of the highest 2.5 percent of U.S. children ages 1 to 5 years.</w:t>
      </w:r>
      <w:r w:rsidRPr="00B55C7B">
        <w:rPr>
          <w:rFonts w:ascii="Times New Roman" w:eastAsiaTheme="minorHAnsi" w:hAnsi="Times New Roman" w:cs="Times New Roman"/>
          <w:sz w:val="22"/>
          <w:szCs w:val="22"/>
        </w:rPr>
        <w:t xml:space="preserve"> CDC may revise this level in the future, and if so, HUD will update its EBLL as used under the LSHR, via the notice and comment process, as provided by the definition of EBLL in the amendment (24 CFR 35.110). However, if a state or local government establishes more protective standards in response to lead in children’s blood, LSHR’s section 35.150 directs PHAs to follow those standards.</w:t>
      </w:r>
    </w:p>
    <w:p w14:paraId="739E943E" w14:textId="77777777" w:rsidR="00F2762E" w:rsidRPr="00DD513C" w:rsidRDefault="00F2762E" w:rsidP="00E46B58">
      <w:pPr>
        <w:pStyle w:val="PlainText"/>
        <w:rPr>
          <w:rFonts w:ascii="Times New Roman" w:eastAsiaTheme="minorHAnsi" w:hAnsi="Times New Roman" w:cs="Times New Roman"/>
          <w:sz w:val="22"/>
          <w:szCs w:val="22"/>
        </w:rPr>
      </w:pPr>
    </w:p>
    <w:p w14:paraId="25AA0DAE" w14:textId="77777777" w:rsidR="00E46DDA" w:rsidRPr="00DD513C" w:rsidRDefault="00E46DDA" w:rsidP="00E46B58">
      <w:pPr>
        <w:pStyle w:val="PlainText"/>
        <w:rPr>
          <w:rFonts w:ascii="Times New Roman" w:eastAsiaTheme="minorHAnsi" w:hAnsi="Times New Roman" w:cs="Times New Roman"/>
          <w:sz w:val="22"/>
          <w:szCs w:val="22"/>
        </w:rPr>
      </w:pPr>
    </w:p>
    <w:p w14:paraId="07DB8922" w14:textId="77777777" w:rsidR="00203EA3" w:rsidRPr="00DD513C" w:rsidRDefault="00E46DDA" w:rsidP="00E46B58">
      <w:pPr>
        <w:pStyle w:val="PlainText"/>
        <w:rPr>
          <w:rFonts w:ascii="Times New Roman" w:eastAsiaTheme="minorHAnsi" w:hAnsi="Times New Roman" w:cs="Times New Roman"/>
          <w:sz w:val="22"/>
          <w:szCs w:val="22"/>
        </w:rPr>
      </w:pPr>
      <w:r w:rsidRPr="00DD513C">
        <w:rPr>
          <w:rFonts w:ascii="Times New Roman" w:eastAsiaTheme="minorHAnsi" w:hAnsi="Times New Roman" w:cs="Times New Roman"/>
          <w:b/>
          <w:sz w:val="22"/>
          <w:szCs w:val="22"/>
          <w:u w:val="single"/>
        </w:rPr>
        <w:t xml:space="preserve">Units Exempt </w:t>
      </w:r>
      <w:r w:rsidR="00ED4321" w:rsidRPr="00DD513C">
        <w:rPr>
          <w:rFonts w:ascii="Times New Roman" w:eastAsiaTheme="minorHAnsi" w:hAnsi="Times New Roman" w:cs="Times New Roman"/>
          <w:b/>
          <w:sz w:val="22"/>
          <w:szCs w:val="22"/>
          <w:u w:val="single"/>
        </w:rPr>
        <w:t>from this Policy I</w:t>
      </w:r>
      <w:r w:rsidRPr="00DD513C">
        <w:rPr>
          <w:rFonts w:ascii="Times New Roman" w:eastAsiaTheme="minorHAnsi" w:hAnsi="Times New Roman" w:cs="Times New Roman"/>
          <w:b/>
          <w:sz w:val="22"/>
          <w:szCs w:val="22"/>
          <w:u w:val="single"/>
        </w:rPr>
        <w:t>nclude</w:t>
      </w:r>
      <w:r w:rsidRPr="00DD513C">
        <w:rPr>
          <w:rFonts w:ascii="Times New Roman" w:eastAsiaTheme="minorHAnsi" w:hAnsi="Times New Roman" w:cs="Times New Roman"/>
          <w:sz w:val="22"/>
          <w:szCs w:val="22"/>
        </w:rPr>
        <w:t xml:space="preserve">: </w:t>
      </w:r>
    </w:p>
    <w:p w14:paraId="0C288451" w14:textId="77777777" w:rsidR="00ED4321" w:rsidRPr="00DD513C" w:rsidRDefault="00ED4321" w:rsidP="00E46B58">
      <w:pPr>
        <w:pStyle w:val="PlainText"/>
        <w:rPr>
          <w:rFonts w:ascii="Times New Roman" w:eastAsiaTheme="minorHAnsi" w:hAnsi="Times New Roman" w:cs="Times New Roman"/>
          <w:sz w:val="22"/>
          <w:szCs w:val="22"/>
        </w:rPr>
      </w:pPr>
    </w:p>
    <w:p w14:paraId="0968DC4A" w14:textId="77777777" w:rsidR="00203EA3" w:rsidRPr="00DD513C" w:rsidRDefault="00E46DDA" w:rsidP="00E46B58">
      <w:pPr>
        <w:pStyle w:val="PlainText"/>
        <w:rPr>
          <w:rFonts w:ascii="Times New Roman" w:eastAsiaTheme="minorHAnsi" w:hAnsi="Times New Roman" w:cs="Times New Roman"/>
          <w:sz w:val="22"/>
          <w:szCs w:val="22"/>
        </w:rPr>
      </w:pPr>
      <w:r w:rsidRPr="00DD513C">
        <w:rPr>
          <w:rFonts w:ascii="Times New Roman" w:eastAsiaTheme="minorHAnsi" w:hAnsi="Times New Roman" w:cs="Times New Roman"/>
          <w:sz w:val="22"/>
          <w:szCs w:val="22"/>
        </w:rPr>
        <w:t xml:space="preserve">• Units built after December 31, 1977; </w:t>
      </w:r>
    </w:p>
    <w:p w14:paraId="16D7B397" w14:textId="77777777" w:rsidR="00203EA3" w:rsidRPr="00DD513C" w:rsidRDefault="00E46DDA" w:rsidP="00E46B58">
      <w:pPr>
        <w:pStyle w:val="PlainText"/>
        <w:rPr>
          <w:rFonts w:ascii="Times New Roman" w:eastAsiaTheme="minorHAnsi" w:hAnsi="Times New Roman" w:cs="Times New Roman"/>
          <w:sz w:val="22"/>
          <w:szCs w:val="22"/>
        </w:rPr>
      </w:pPr>
      <w:r w:rsidRPr="00DD513C">
        <w:rPr>
          <w:rFonts w:ascii="Times New Roman" w:eastAsiaTheme="minorHAnsi" w:hAnsi="Times New Roman" w:cs="Times New Roman"/>
          <w:sz w:val="22"/>
          <w:szCs w:val="22"/>
        </w:rPr>
        <w:t xml:space="preserve">• Zero (0) bedroom and SRO units; • Housing built for the elderly or persons with disabilities, unless a child </w:t>
      </w:r>
      <w:r w:rsidR="00ED4321" w:rsidRPr="00DD513C">
        <w:rPr>
          <w:rFonts w:ascii="Times New Roman" w:eastAsiaTheme="minorHAnsi" w:hAnsi="Times New Roman" w:cs="Times New Roman"/>
          <w:sz w:val="22"/>
          <w:szCs w:val="22"/>
        </w:rPr>
        <w:t xml:space="preserve">who is </w:t>
      </w:r>
      <w:r w:rsidRPr="00DD513C">
        <w:rPr>
          <w:rFonts w:ascii="Times New Roman" w:eastAsiaTheme="minorHAnsi" w:hAnsi="Times New Roman" w:cs="Times New Roman"/>
          <w:sz w:val="22"/>
          <w:szCs w:val="22"/>
        </w:rPr>
        <w:t>under</w:t>
      </w:r>
      <w:r w:rsidR="00ED4321" w:rsidRPr="00DD513C">
        <w:rPr>
          <w:rFonts w:ascii="Times New Roman" w:eastAsiaTheme="minorHAnsi" w:hAnsi="Times New Roman" w:cs="Times New Roman"/>
          <w:sz w:val="22"/>
          <w:szCs w:val="22"/>
        </w:rPr>
        <w:t xml:space="preserve"> the </w:t>
      </w:r>
      <w:r w:rsidRPr="00DD513C">
        <w:rPr>
          <w:rFonts w:ascii="Times New Roman" w:eastAsiaTheme="minorHAnsi" w:hAnsi="Times New Roman" w:cs="Times New Roman"/>
          <w:sz w:val="22"/>
          <w:szCs w:val="22"/>
        </w:rPr>
        <w:t>age</w:t>
      </w:r>
      <w:r w:rsidR="00ED4321" w:rsidRPr="00DD513C">
        <w:rPr>
          <w:rFonts w:ascii="Times New Roman" w:eastAsiaTheme="minorHAnsi" w:hAnsi="Times New Roman" w:cs="Times New Roman"/>
          <w:sz w:val="22"/>
          <w:szCs w:val="22"/>
        </w:rPr>
        <w:t xml:space="preserve"> of</w:t>
      </w:r>
      <w:r w:rsidRPr="00DD513C">
        <w:rPr>
          <w:rFonts w:ascii="Times New Roman" w:eastAsiaTheme="minorHAnsi" w:hAnsi="Times New Roman" w:cs="Times New Roman"/>
          <w:sz w:val="22"/>
          <w:szCs w:val="22"/>
        </w:rPr>
        <w:t xml:space="preserve"> six (6) resides or is expected to reside in such housing; </w:t>
      </w:r>
    </w:p>
    <w:p w14:paraId="6C115DE0" w14:textId="77777777" w:rsidR="00203EA3" w:rsidRPr="00DD513C" w:rsidRDefault="00E46DDA" w:rsidP="00E46B58">
      <w:pPr>
        <w:pStyle w:val="PlainText"/>
        <w:rPr>
          <w:rFonts w:ascii="Times New Roman" w:eastAsiaTheme="minorHAnsi" w:hAnsi="Times New Roman" w:cs="Times New Roman"/>
          <w:sz w:val="22"/>
          <w:szCs w:val="22"/>
        </w:rPr>
      </w:pPr>
      <w:r w:rsidRPr="00DD513C">
        <w:rPr>
          <w:rFonts w:ascii="Times New Roman" w:eastAsiaTheme="minorHAnsi" w:hAnsi="Times New Roman" w:cs="Times New Roman"/>
          <w:sz w:val="22"/>
          <w:szCs w:val="22"/>
        </w:rPr>
        <w:t xml:space="preserve">• Property for which a paint inspection was completed in accordance with the new regulations and certified to have no lead-based paint; </w:t>
      </w:r>
    </w:p>
    <w:p w14:paraId="714B5927" w14:textId="77777777" w:rsidR="00203EA3" w:rsidRPr="00DD513C" w:rsidRDefault="00E46DDA" w:rsidP="00E46B58">
      <w:pPr>
        <w:pStyle w:val="PlainText"/>
        <w:rPr>
          <w:rFonts w:ascii="Times New Roman" w:eastAsiaTheme="minorHAnsi" w:hAnsi="Times New Roman" w:cs="Times New Roman"/>
          <w:sz w:val="22"/>
          <w:szCs w:val="22"/>
        </w:rPr>
      </w:pPr>
      <w:r w:rsidRPr="00DD513C">
        <w:rPr>
          <w:rFonts w:ascii="Times New Roman" w:eastAsiaTheme="minorHAnsi" w:hAnsi="Times New Roman" w:cs="Times New Roman"/>
          <w:sz w:val="22"/>
          <w:szCs w:val="22"/>
        </w:rPr>
        <w:t xml:space="preserve">• Property in which all lead-based paint was identified, was removed, and received clearance in accordance with the new regulations. For dwellings built before January 1, 1978, and occupied or to be occupied by assisted families with one or more children under age six, lead-based paint requirements apply to: </w:t>
      </w:r>
    </w:p>
    <w:p w14:paraId="72A813E4" w14:textId="77777777" w:rsidR="00203EA3" w:rsidRPr="00DD513C" w:rsidRDefault="00E46DDA" w:rsidP="00E46B58">
      <w:pPr>
        <w:pStyle w:val="PlainText"/>
        <w:rPr>
          <w:rFonts w:ascii="Times New Roman" w:eastAsiaTheme="minorHAnsi" w:hAnsi="Times New Roman" w:cs="Times New Roman"/>
          <w:sz w:val="22"/>
          <w:szCs w:val="22"/>
        </w:rPr>
      </w:pPr>
      <w:r w:rsidRPr="00DD513C">
        <w:rPr>
          <w:rFonts w:ascii="Times New Roman" w:eastAsiaTheme="minorHAnsi" w:hAnsi="Times New Roman" w:cs="Times New Roman"/>
          <w:sz w:val="22"/>
          <w:szCs w:val="22"/>
        </w:rPr>
        <w:t xml:space="preserve">• The unit interior and exterior paint surfaces associated with the assisted unit; and </w:t>
      </w:r>
    </w:p>
    <w:p w14:paraId="3510133B" w14:textId="77777777" w:rsidR="00E46DDA" w:rsidRPr="00DD513C" w:rsidRDefault="00E46DDA" w:rsidP="00E46B58">
      <w:pPr>
        <w:pStyle w:val="PlainText"/>
        <w:rPr>
          <w:rFonts w:ascii="Times New Roman" w:eastAsiaTheme="minorHAnsi" w:hAnsi="Times New Roman" w:cs="Times New Roman"/>
          <w:sz w:val="22"/>
          <w:szCs w:val="22"/>
        </w:rPr>
      </w:pPr>
      <w:r w:rsidRPr="00DD513C">
        <w:rPr>
          <w:rFonts w:ascii="Times New Roman" w:eastAsiaTheme="minorHAnsi" w:hAnsi="Times New Roman" w:cs="Times New Roman"/>
          <w:sz w:val="22"/>
          <w:szCs w:val="22"/>
        </w:rPr>
        <w:t>• The common areas servicing the unit, including those areas through which residents must pass to gain access to the unit, and other areas frequented by resident children less than six such as play areas, and child care facilities. Common areas also include garages and fences on the assisted property. Basic Lead-</w:t>
      </w:r>
      <w:r w:rsidRPr="00DD513C">
        <w:rPr>
          <w:rFonts w:ascii="Times New Roman" w:eastAsiaTheme="minorHAnsi" w:hAnsi="Times New Roman" w:cs="Times New Roman"/>
          <w:sz w:val="22"/>
          <w:szCs w:val="22"/>
        </w:rPr>
        <w:lastRenderedPageBreak/>
        <w:t xml:space="preserve">Based Paint Requirements </w:t>
      </w:r>
      <w:r w:rsidR="00ED4321" w:rsidRPr="00DD513C">
        <w:rPr>
          <w:rFonts w:ascii="Times New Roman" w:eastAsiaTheme="minorHAnsi" w:hAnsi="Times New Roman" w:cs="Times New Roman"/>
          <w:sz w:val="22"/>
          <w:szCs w:val="22"/>
        </w:rPr>
        <w:t>training course is available on the Office of Healthy Homes and Lead Hazard Control’s website.</w:t>
      </w:r>
    </w:p>
    <w:p w14:paraId="44BE8C95" w14:textId="77777777" w:rsidR="00E46DDA" w:rsidRPr="00DD513C" w:rsidRDefault="00E46DDA" w:rsidP="00E46B58">
      <w:pPr>
        <w:pStyle w:val="PlainText"/>
        <w:rPr>
          <w:rFonts w:ascii="Times New Roman" w:eastAsiaTheme="minorHAnsi" w:hAnsi="Times New Roman" w:cs="Times New Roman"/>
          <w:sz w:val="22"/>
          <w:szCs w:val="22"/>
        </w:rPr>
      </w:pPr>
    </w:p>
    <w:p w14:paraId="5D241B46" w14:textId="77777777" w:rsidR="00E46DDA" w:rsidRPr="00DD513C" w:rsidRDefault="00E46DDA" w:rsidP="00E46B58">
      <w:pPr>
        <w:pStyle w:val="PlainText"/>
        <w:rPr>
          <w:rFonts w:ascii="Times New Roman" w:eastAsiaTheme="minorHAnsi" w:hAnsi="Times New Roman" w:cs="Times New Roman"/>
          <w:sz w:val="22"/>
          <w:szCs w:val="22"/>
        </w:rPr>
      </w:pPr>
    </w:p>
    <w:p w14:paraId="4D3742E4" w14:textId="77777777" w:rsidR="00E46DDA" w:rsidRPr="00DD513C" w:rsidRDefault="00E46DDA" w:rsidP="00E46B58">
      <w:pPr>
        <w:pStyle w:val="PlainText"/>
        <w:rPr>
          <w:rFonts w:ascii="Times New Roman" w:eastAsiaTheme="minorHAnsi" w:hAnsi="Times New Roman" w:cs="Times New Roman"/>
          <w:sz w:val="22"/>
          <w:szCs w:val="22"/>
          <w:u w:val="single"/>
        </w:rPr>
      </w:pPr>
      <w:r w:rsidRPr="00F3353C">
        <w:rPr>
          <w:rFonts w:ascii="Times New Roman" w:eastAsiaTheme="minorHAnsi" w:hAnsi="Times New Roman" w:cs="Times New Roman"/>
          <w:b/>
          <w:sz w:val="22"/>
          <w:szCs w:val="22"/>
          <w:u w:val="single"/>
        </w:rPr>
        <w:t>DBHA is the responsible party for the following activities</w:t>
      </w:r>
      <w:r w:rsidRPr="00DD513C">
        <w:rPr>
          <w:rFonts w:ascii="Times New Roman" w:eastAsiaTheme="minorHAnsi" w:hAnsi="Times New Roman" w:cs="Times New Roman"/>
          <w:sz w:val="22"/>
          <w:szCs w:val="22"/>
          <w:u w:val="single"/>
        </w:rPr>
        <w:t xml:space="preserve">: </w:t>
      </w:r>
    </w:p>
    <w:p w14:paraId="5C0E0556" w14:textId="77777777" w:rsidR="00E46DDA" w:rsidRPr="00DD513C" w:rsidRDefault="00E46DDA" w:rsidP="00E46B58">
      <w:pPr>
        <w:pStyle w:val="PlainText"/>
        <w:rPr>
          <w:rFonts w:ascii="Times New Roman" w:eastAsiaTheme="minorHAnsi" w:hAnsi="Times New Roman" w:cs="Times New Roman"/>
          <w:sz w:val="22"/>
          <w:szCs w:val="22"/>
        </w:rPr>
      </w:pPr>
    </w:p>
    <w:p w14:paraId="20EF8C49" w14:textId="77777777" w:rsidR="00E46DDA" w:rsidRPr="00DD513C" w:rsidRDefault="00E46DDA" w:rsidP="00E46B58">
      <w:pPr>
        <w:pStyle w:val="PlainText"/>
        <w:rPr>
          <w:rFonts w:ascii="Times New Roman" w:eastAsiaTheme="minorHAnsi" w:hAnsi="Times New Roman" w:cs="Times New Roman"/>
          <w:sz w:val="22"/>
          <w:szCs w:val="22"/>
        </w:rPr>
      </w:pPr>
      <w:r w:rsidRPr="00DD513C">
        <w:rPr>
          <w:rFonts w:ascii="Times New Roman" w:eastAsiaTheme="minorHAnsi" w:hAnsi="Times New Roman" w:cs="Times New Roman"/>
          <w:sz w:val="22"/>
          <w:szCs w:val="22"/>
        </w:rPr>
        <w:t xml:space="preserve">• Visual assessment for deteriorated paint (i.e., peeling, chipping, flaking) surfaces at initial and annual inspections; </w:t>
      </w:r>
    </w:p>
    <w:p w14:paraId="20E59068" w14:textId="77777777" w:rsidR="00E46DDA" w:rsidRPr="00DD513C" w:rsidRDefault="00E46DDA" w:rsidP="00E46B58">
      <w:pPr>
        <w:pStyle w:val="PlainText"/>
        <w:rPr>
          <w:rFonts w:ascii="Times New Roman" w:eastAsiaTheme="minorHAnsi" w:hAnsi="Times New Roman" w:cs="Times New Roman"/>
          <w:sz w:val="22"/>
          <w:szCs w:val="22"/>
        </w:rPr>
      </w:pPr>
      <w:r w:rsidRPr="00DD513C">
        <w:rPr>
          <w:rFonts w:ascii="Times New Roman" w:eastAsiaTheme="minorHAnsi" w:hAnsi="Times New Roman" w:cs="Times New Roman"/>
          <w:sz w:val="22"/>
          <w:szCs w:val="22"/>
        </w:rPr>
        <w:t xml:space="preserve">• Assuring that clearance examination is conducted when required; </w:t>
      </w:r>
    </w:p>
    <w:p w14:paraId="21E1AEFD" w14:textId="77777777" w:rsidR="00E46DDA" w:rsidRPr="00DD513C" w:rsidRDefault="00E46DDA" w:rsidP="00E46B58">
      <w:pPr>
        <w:pStyle w:val="PlainText"/>
        <w:rPr>
          <w:rFonts w:ascii="Times New Roman" w:eastAsiaTheme="minorHAnsi" w:hAnsi="Times New Roman" w:cs="Times New Roman"/>
          <w:sz w:val="22"/>
          <w:szCs w:val="22"/>
        </w:rPr>
      </w:pPr>
      <w:r w:rsidRPr="00DD513C">
        <w:rPr>
          <w:rFonts w:ascii="Times New Roman" w:eastAsiaTheme="minorHAnsi" w:hAnsi="Times New Roman" w:cs="Times New Roman"/>
          <w:sz w:val="22"/>
          <w:szCs w:val="22"/>
        </w:rPr>
        <w:t xml:space="preserve">• Carrying out special requirements for children under age six who have environmental intervention blood lead levels as verified by a medical health care provider; </w:t>
      </w:r>
    </w:p>
    <w:p w14:paraId="6A02E524" w14:textId="77777777" w:rsidR="00E46DDA" w:rsidRPr="00DD513C" w:rsidRDefault="00E46DDA" w:rsidP="00E46B58">
      <w:pPr>
        <w:pStyle w:val="PlainText"/>
        <w:rPr>
          <w:rFonts w:ascii="Times New Roman" w:eastAsiaTheme="minorHAnsi" w:hAnsi="Times New Roman" w:cs="Times New Roman"/>
          <w:sz w:val="22"/>
          <w:szCs w:val="22"/>
        </w:rPr>
      </w:pPr>
      <w:r w:rsidRPr="00DD513C">
        <w:rPr>
          <w:rFonts w:ascii="Times New Roman" w:eastAsiaTheme="minorHAnsi" w:hAnsi="Times New Roman" w:cs="Times New Roman"/>
          <w:sz w:val="22"/>
          <w:szCs w:val="22"/>
        </w:rPr>
        <w:t>• Collecting data from the local health department on program participants under age six who have identified environmental</w:t>
      </w:r>
      <w:r w:rsidRPr="00DD513C">
        <w:rPr>
          <w:rFonts w:ascii="Times New Roman" w:hAnsi="Times New Roman" w:cs="Times New Roman"/>
        </w:rPr>
        <w:t xml:space="preserve"> </w:t>
      </w:r>
      <w:r w:rsidRPr="00DD513C">
        <w:rPr>
          <w:rFonts w:ascii="Times New Roman" w:eastAsiaTheme="minorHAnsi" w:hAnsi="Times New Roman" w:cs="Times New Roman"/>
          <w:sz w:val="22"/>
          <w:szCs w:val="22"/>
        </w:rPr>
        <w:t xml:space="preserve">intervention blood lead levels; and </w:t>
      </w:r>
    </w:p>
    <w:p w14:paraId="0C1D8FFD" w14:textId="77777777" w:rsidR="00E46DDA" w:rsidRPr="00DD513C" w:rsidRDefault="00E46DDA" w:rsidP="00E46B58">
      <w:pPr>
        <w:pStyle w:val="PlainText"/>
        <w:rPr>
          <w:rFonts w:ascii="Times New Roman" w:eastAsiaTheme="minorHAnsi" w:hAnsi="Times New Roman" w:cs="Times New Roman"/>
          <w:sz w:val="22"/>
          <w:szCs w:val="22"/>
        </w:rPr>
      </w:pPr>
      <w:r w:rsidRPr="00DD513C">
        <w:rPr>
          <w:rFonts w:ascii="Times New Roman" w:eastAsiaTheme="minorHAnsi" w:hAnsi="Times New Roman" w:cs="Times New Roman"/>
          <w:sz w:val="22"/>
          <w:szCs w:val="22"/>
        </w:rPr>
        <w:t>• Record keeping.</w:t>
      </w:r>
    </w:p>
    <w:p w14:paraId="6529A4B1" w14:textId="77777777" w:rsidR="00ED4321" w:rsidRPr="00DD513C" w:rsidRDefault="00ED4321" w:rsidP="00E46B58">
      <w:pPr>
        <w:pStyle w:val="PlainText"/>
        <w:rPr>
          <w:rFonts w:ascii="Times New Roman" w:eastAsiaTheme="minorHAnsi" w:hAnsi="Times New Roman" w:cs="Times New Roman"/>
          <w:sz w:val="22"/>
          <w:szCs w:val="22"/>
        </w:rPr>
      </w:pPr>
    </w:p>
    <w:p w14:paraId="099FF498" w14:textId="77777777" w:rsidR="00ED4321" w:rsidRPr="00DD513C" w:rsidRDefault="00ED4321" w:rsidP="00E46B58">
      <w:pPr>
        <w:pStyle w:val="PlainText"/>
        <w:rPr>
          <w:rFonts w:ascii="Times New Roman" w:eastAsiaTheme="minorHAnsi" w:hAnsi="Times New Roman" w:cs="Times New Roman"/>
          <w:sz w:val="22"/>
          <w:szCs w:val="22"/>
          <w:u w:val="single"/>
        </w:rPr>
      </w:pPr>
      <w:r w:rsidRPr="00DD513C">
        <w:rPr>
          <w:rFonts w:ascii="Times New Roman" w:eastAsiaTheme="minorHAnsi" w:hAnsi="Times New Roman" w:cs="Times New Roman"/>
          <w:sz w:val="22"/>
          <w:szCs w:val="22"/>
          <w:u w:val="single"/>
        </w:rPr>
        <w:t xml:space="preserve">Stabilization of Deteriorated Paint Surfaces </w:t>
      </w:r>
    </w:p>
    <w:p w14:paraId="587719F9" w14:textId="77777777" w:rsidR="00ED4321" w:rsidRPr="00DD513C" w:rsidRDefault="00ED4321" w:rsidP="00E46B58">
      <w:pPr>
        <w:pStyle w:val="PlainText"/>
        <w:rPr>
          <w:rFonts w:ascii="Times New Roman" w:hAnsi="Times New Roman" w:cs="Times New Roman"/>
        </w:rPr>
      </w:pPr>
    </w:p>
    <w:p w14:paraId="6C2C4C7B" w14:textId="77777777" w:rsidR="00ED4321" w:rsidRDefault="00ED4321" w:rsidP="00E46B58">
      <w:pPr>
        <w:pStyle w:val="PlainText"/>
        <w:rPr>
          <w:rFonts w:ascii="Times New Roman" w:eastAsiaTheme="minorHAnsi" w:hAnsi="Times New Roman" w:cs="Times New Roman"/>
          <w:sz w:val="22"/>
          <w:szCs w:val="22"/>
        </w:rPr>
      </w:pPr>
      <w:r w:rsidRPr="00DD513C">
        <w:rPr>
          <w:rFonts w:ascii="Times New Roman" w:eastAsiaTheme="minorHAnsi" w:hAnsi="Times New Roman" w:cs="Times New Roman"/>
          <w:sz w:val="22"/>
          <w:szCs w:val="22"/>
        </w:rPr>
        <w:t xml:space="preserve">When the visual inspector identifies deteriorated paint surfaces, </w:t>
      </w:r>
      <w:r w:rsidR="00E63DCB" w:rsidRPr="00DD513C">
        <w:rPr>
          <w:rFonts w:ascii="Times New Roman" w:eastAsiaTheme="minorHAnsi" w:hAnsi="Times New Roman" w:cs="Times New Roman"/>
          <w:sz w:val="22"/>
          <w:szCs w:val="22"/>
        </w:rPr>
        <w:t>DBHA will</w:t>
      </w:r>
      <w:r w:rsidRPr="00DD513C">
        <w:rPr>
          <w:rFonts w:ascii="Times New Roman" w:eastAsiaTheme="minorHAnsi" w:hAnsi="Times New Roman" w:cs="Times New Roman"/>
          <w:sz w:val="22"/>
          <w:szCs w:val="22"/>
        </w:rPr>
        <w:t xml:space="preserve"> notify and require the owner to perform stabilization of the surfaces within thirty (30) days of notification in occupied units and before commencement of an assisted tenancy</w:t>
      </w:r>
    </w:p>
    <w:p w14:paraId="7A7F0184" w14:textId="77777777" w:rsidR="00366122" w:rsidRDefault="00366122" w:rsidP="00E46B58">
      <w:pPr>
        <w:pStyle w:val="PlainText"/>
        <w:rPr>
          <w:rFonts w:ascii="Times New Roman" w:eastAsiaTheme="minorHAnsi" w:hAnsi="Times New Roman" w:cs="Times New Roman"/>
          <w:sz w:val="22"/>
          <w:szCs w:val="22"/>
        </w:rPr>
      </w:pPr>
    </w:p>
    <w:p w14:paraId="756A2873" w14:textId="77777777" w:rsidR="00366122" w:rsidRPr="00DD513C" w:rsidRDefault="00366122" w:rsidP="00E46B58">
      <w:pPr>
        <w:pStyle w:val="PlainText"/>
        <w:rPr>
          <w:rFonts w:ascii="Times New Roman" w:eastAsiaTheme="minorHAnsi" w:hAnsi="Times New Roman" w:cs="Times New Roman"/>
          <w:sz w:val="22"/>
          <w:szCs w:val="22"/>
        </w:rPr>
      </w:pPr>
      <w:r>
        <w:rPr>
          <w:rFonts w:ascii="Times New Roman" w:eastAsiaTheme="minorHAnsi" w:hAnsi="Times New Roman" w:cs="Times New Roman"/>
          <w:sz w:val="22"/>
          <w:szCs w:val="22"/>
        </w:rPr>
        <w:t xml:space="preserve">The Dania Beach Housing Authority has reached out to the Broward County Health Department.   Mr. Patrick Jenkins advises they are restricted from providing the Housing Authority any information regarding names or address of lead poisoning report.  In addition, they will not accept any address file from us to review against their files.  He advised that if DBHA suspects lead poisoning, to advise the client to see a primary care physician who will performs tests and report all information to the Health Department. </w:t>
      </w:r>
    </w:p>
    <w:p w14:paraId="049EBB97" w14:textId="0B7CFDE4" w:rsidR="00203EA3" w:rsidRDefault="00203EA3" w:rsidP="00E46B58">
      <w:pPr>
        <w:pStyle w:val="PlainText"/>
        <w:rPr>
          <w:rFonts w:ascii="Times New Roman" w:eastAsiaTheme="minorHAnsi" w:hAnsi="Times New Roman" w:cs="Times New Roman"/>
          <w:sz w:val="22"/>
          <w:szCs w:val="22"/>
        </w:rPr>
      </w:pPr>
    </w:p>
    <w:p w14:paraId="081932A2" w14:textId="77777777" w:rsidR="00B55C7B" w:rsidRPr="00B55C7B" w:rsidRDefault="00B55C7B" w:rsidP="00E46B58">
      <w:pPr>
        <w:pStyle w:val="PlainText"/>
        <w:rPr>
          <w:rFonts w:ascii="Times New Roman" w:eastAsiaTheme="minorHAnsi" w:hAnsi="Times New Roman" w:cs="Times New Roman"/>
          <w:b/>
          <w:bCs/>
          <w:sz w:val="22"/>
          <w:szCs w:val="22"/>
          <w:u w:val="single"/>
        </w:rPr>
      </w:pPr>
      <w:r w:rsidRPr="00B55C7B">
        <w:rPr>
          <w:rFonts w:ascii="Times New Roman" w:eastAsiaTheme="minorHAnsi" w:hAnsi="Times New Roman" w:cs="Times New Roman"/>
          <w:b/>
          <w:bCs/>
          <w:sz w:val="22"/>
          <w:szCs w:val="22"/>
          <w:u w:val="single"/>
        </w:rPr>
        <w:t xml:space="preserve">Housing Choice Voucher (HCV) Program </w:t>
      </w:r>
    </w:p>
    <w:p w14:paraId="394AD132" w14:textId="77777777" w:rsidR="00B55C7B" w:rsidRPr="00B55C7B" w:rsidRDefault="00B55C7B" w:rsidP="00E46B58">
      <w:pPr>
        <w:pStyle w:val="PlainText"/>
        <w:rPr>
          <w:rFonts w:ascii="Times New Roman" w:eastAsiaTheme="minorHAnsi" w:hAnsi="Times New Roman" w:cs="Times New Roman"/>
          <w:sz w:val="22"/>
          <w:szCs w:val="22"/>
        </w:rPr>
      </w:pPr>
    </w:p>
    <w:p w14:paraId="1CBA327A" w14:textId="77777777" w:rsidR="00B55C7B" w:rsidRPr="00B55C7B" w:rsidRDefault="00B55C7B" w:rsidP="00E46B58">
      <w:pPr>
        <w:pStyle w:val="PlainText"/>
        <w:rPr>
          <w:rFonts w:ascii="Times New Roman" w:eastAsiaTheme="minorHAnsi" w:hAnsi="Times New Roman" w:cs="Times New Roman"/>
          <w:sz w:val="22"/>
          <w:szCs w:val="22"/>
        </w:rPr>
      </w:pPr>
      <w:r w:rsidRPr="00B55C7B">
        <w:rPr>
          <w:rFonts w:ascii="Times New Roman" w:eastAsiaTheme="minorHAnsi" w:hAnsi="Times New Roman" w:cs="Times New Roman"/>
          <w:sz w:val="22"/>
          <w:szCs w:val="22"/>
        </w:rPr>
        <w:t xml:space="preserve">For Housing Choice Voucher (HCV) units, when a child under 6 is identified with an EBLL, the PHA or the owner, as described below, must take certain steps. (For a more detailed explanation, please refer to section 6.) For the HCV program, the regulations identify the PHA as the designated party for ensuring compliance with all the regulations. This includes the same steps as for public housing, except that the owner is responsible for some of the steps, and the PHA, other steps. In addition, for several steps, as described below, the PHA may wish to 7 collaborate with the owner to expedite implementation. </w:t>
      </w:r>
    </w:p>
    <w:p w14:paraId="668F7DD1" w14:textId="77777777" w:rsidR="00B55C7B" w:rsidRPr="00B55C7B" w:rsidRDefault="00B55C7B" w:rsidP="00E46B58">
      <w:pPr>
        <w:pStyle w:val="PlainText"/>
        <w:rPr>
          <w:rFonts w:ascii="Times New Roman" w:eastAsiaTheme="minorHAnsi" w:hAnsi="Times New Roman" w:cs="Times New Roman"/>
          <w:sz w:val="22"/>
          <w:szCs w:val="22"/>
        </w:rPr>
      </w:pPr>
    </w:p>
    <w:p w14:paraId="43757EC3" w14:textId="77777777" w:rsidR="00B55C7B" w:rsidRPr="00B55C7B" w:rsidRDefault="00B55C7B" w:rsidP="00E46B58">
      <w:pPr>
        <w:pStyle w:val="PlainText"/>
        <w:rPr>
          <w:rFonts w:ascii="Times New Roman" w:eastAsiaTheme="minorHAnsi" w:hAnsi="Times New Roman" w:cs="Times New Roman"/>
          <w:sz w:val="22"/>
          <w:szCs w:val="22"/>
        </w:rPr>
      </w:pPr>
      <w:r w:rsidRPr="00B55C7B">
        <w:rPr>
          <w:rFonts w:ascii="Times New Roman" w:eastAsiaTheme="minorHAnsi" w:hAnsi="Times New Roman" w:cs="Times New Roman"/>
          <w:sz w:val="22"/>
          <w:szCs w:val="22"/>
        </w:rPr>
        <w:t xml:space="preserve">The Owner is responsible for: </w:t>
      </w:r>
    </w:p>
    <w:p w14:paraId="6D30D619" w14:textId="77777777" w:rsidR="00B55C7B" w:rsidRPr="00B55C7B" w:rsidRDefault="00B55C7B" w:rsidP="00E46B58">
      <w:pPr>
        <w:pStyle w:val="PlainText"/>
        <w:rPr>
          <w:rFonts w:ascii="Times New Roman" w:eastAsiaTheme="minorHAnsi" w:hAnsi="Times New Roman" w:cs="Times New Roman"/>
          <w:sz w:val="22"/>
          <w:szCs w:val="22"/>
        </w:rPr>
      </w:pPr>
      <w:r w:rsidRPr="00B55C7B">
        <w:rPr>
          <w:rFonts w:ascii="Times New Roman" w:eastAsiaTheme="minorHAnsi" w:hAnsi="Times New Roman" w:cs="Times New Roman"/>
          <w:sz w:val="22"/>
          <w:szCs w:val="22"/>
        </w:rPr>
        <w:t xml:space="preserve">● Initial notification of a confirmed case to HUD: Notifying the HUD field office and the HUD Office of Lead Hazard Control and Healthy Homes of the case – that is, the child’s address – within 5 business days. The PHA may wish to collaborate with the owner on this notification process, such as by agreeing with the owner to be notified of the case by the owner and to forward the notification to the two HUD offices. </w:t>
      </w:r>
    </w:p>
    <w:p w14:paraId="5F7E4F9B" w14:textId="77777777" w:rsidR="00B55C7B" w:rsidRPr="00B55C7B" w:rsidRDefault="00B55C7B" w:rsidP="00E46B58">
      <w:pPr>
        <w:pStyle w:val="PlainText"/>
        <w:rPr>
          <w:rFonts w:ascii="Times New Roman" w:eastAsiaTheme="minorHAnsi" w:hAnsi="Times New Roman" w:cs="Times New Roman"/>
          <w:sz w:val="22"/>
          <w:szCs w:val="22"/>
        </w:rPr>
      </w:pPr>
      <w:r w:rsidRPr="00B55C7B">
        <w:rPr>
          <w:rFonts w:ascii="Times New Roman" w:eastAsiaTheme="minorHAnsi" w:hAnsi="Times New Roman" w:cs="Times New Roman"/>
          <w:sz w:val="22"/>
          <w:szCs w:val="22"/>
        </w:rPr>
        <w:t xml:space="preserve">● Initial notification of the public health department, when necessary: When the owner is notified of the case by any medical health care professional other than the public health department, the owner shall notify the public health department of the name and address of the child within 5 business days. The PHA may wish to collaborate with the owner on this notification process, such as by agreeing with the owner to inform the public health department. </w:t>
      </w:r>
    </w:p>
    <w:p w14:paraId="02CC331F" w14:textId="77777777" w:rsidR="00B55C7B" w:rsidRPr="00B55C7B" w:rsidRDefault="00B55C7B" w:rsidP="00E46B58">
      <w:pPr>
        <w:pStyle w:val="PlainText"/>
        <w:rPr>
          <w:rFonts w:ascii="Times New Roman" w:eastAsiaTheme="minorHAnsi" w:hAnsi="Times New Roman" w:cs="Times New Roman"/>
          <w:sz w:val="22"/>
          <w:szCs w:val="22"/>
        </w:rPr>
      </w:pPr>
      <w:r w:rsidRPr="00B55C7B">
        <w:rPr>
          <w:rFonts w:ascii="Times New Roman" w:eastAsiaTheme="minorHAnsi" w:hAnsi="Times New Roman" w:cs="Times New Roman"/>
          <w:sz w:val="22"/>
          <w:szCs w:val="22"/>
        </w:rPr>
        <w:t xml:space="preserve">● Verification of the case, when necessary: When the owner receives information from a person who is not a medical health care provider that a case may have occurred, the owner should immediately convey the information to the PHA so the PHA may notify the public health department, if the PHA has </w:t>
      </w:r>
      <w:r w:rsidRPr="00B55C7B">
        <w:rPr>
          <w:rFonts w:ascii="Times New Roman" w:eastAsiaTheme="minorHAnsi" w:hAnsi="Times New Roman" w:cs="Times New Roman"/>
          <w:sz w:val="22"/>
          <w:szCs w:val="22"/>
        </w:rPr>
        <w:lastRenderedPageBreak/>
        <w:t xml:space="preserve">indicated, or indicates at this time, that it wishes to collaborate with the owner on implementation of the rule, as described below. </w:t>
      </w:r>
    </w:p>
    <w:p w14:paraId="02AC9C6B" w14:textId="77777777" w:rsidR="00B55C7B" w:rsidRPr="00B55C7B" w:rsidRDefault="00B55C7B" w:rsidP="00E46B58">
      <w:pPr>
        <w:pStyle w:val="PlainText"/>
        <w:rPr>
          <w:rFonts w:ascii="Times New Roman" w:eastAsiaTheme="minorHAnsi" w:hAnsi="Times New Roman" w:cs="Times New Roman"/>
          <w:sz w:val="22"/>
          <w:szCs w:val="22"/>
        </w:rPr>
      </w:pPr>
      <w:r w:rsidRPr="00B55C7B">
        <w:rPr>
          <w:rFonts w:ascii="Times New Roman" w:eastAsiaTheme="minorHAnsi" w:hAnsi="Times New Roman" w:cs="Times New Roman"/>
          <w:sz w:val="22"/>
          <w:szCs w:val="22"/>
        </w:rPr>
        <w:t xml:space="preserve">● Control of lead-based paint hazards: Completing the reduction of lead-based paint hazards in the index unit and common areas servicing that unit that were identified by the environmental investigation conducted by the PHA within 30 calendar days, using a certified lead-based paint abatement firm or certified lead renovation firm. Work shall include occupant protection, and clearance of the unit and common areas servicing that unit by an independent certified risk assessor or a trained dust sampling technician working under the risk assessor in accordance with section 35.1340. </w:t>
      </w:r>
    </w:p>
    <w:p w14:paraId="25B4A98B" w14:textId="77777777" w:rsidR="00B55C7B" w:rsidRPr="00B55C7B" w:rsidRDefault="00B55C7B" w:rsidP="00E46B58">
      <w:pPr>
        <w:pStyle w:val="PlainText"/>
        <w:rPr>
          <w:rFonts w:ascii="Times New Roman" w:eastAsiaTheme="minorHAnsi" w:hAnsi="Times New Roman" w:cs="Times New Roman"/>
          <w:sz w:val="22"/>
          <w:szCs w:val="22"/>
        </w:rPr>
      </w:pPr>
      <w:r w:rsidRPr="00B55C7B">
        <w:rPr>
          <w:rFonts w:ascii="Times New Roman" w:eastAsiaTheme="minorHAnsi" w:hAnsi="Times New Roman" w:cs="Times New Roman"/>
          <w:sz w:val="22"/>
          <w:szCs w:val="22"/>
        </w:rPr>
        <w:t xml:space="preserve">● Notification to other residents: As already required by the LSHR, in a multiunit property, the owner must notify all residents of lead evaluation and hazard control activities. </w:t>
      </w:r>
    </w:p>
    <w:p w14:paraId="0446EFC7" w14:textId="77777777" w:rsidR="00B55C7B" w:rsidRPr="00B55C7B" w:rsidRDefault="00B55C7B" w:rsidP="00E46B58">
      <w:pPr>
        <w:pStyle w:val="PlainText"/>
        <w:rPr>
          <w:rFonts w:ascii="Times New Roman" w:eastAsiaTheme="minorHAnsi" w:hAnsi="Times New Roman" w:cs="Times New Roman"/>
          <w:sz w:val="22"/>
          <w:szCs w:val="22"/>
        </w:rPr>
      </w:pPr>
      <w:r w:rsidRPr="00B55C7B">
        <w:rPr>
          <w:rFonts w:ascii="Times New Roman" w:eastAsiaTheme="minorHAnsi" w:hAnsi="Times New Roman" w:cs="Times New Roman"/>
          <w:sz w:val="22"/>
          <w:szCs w:val="22"/>
        </w:rPr>
        <w:t xml:space="preserve">● Ongoing maintenance: Maintaining covered housing without deteriorated paint if there is child under 6 in the family in accordance with sections 35.1220 and 35.1355(a). The PHA is responsible for: </w:t>
      </w:r>
    </w:p>
    <w:p w14:paraId="54DE2AF8" w14:textId="77777777" w:rsidR="00B55C7B" w:rsidRPr="00B55C7B" w:rsidRDefault="00B55C7B" w:rsidP="00E46B58">
      <w:pPr>
        <w:pStyle w:val="PlainText"/>
        <w:rPr>
          <w:rFonts w:ascii="Times New Roman" w:eastAsiaTheme="minorHAnsi" w:hAnsi="Times New Roman" w:cs="Times New Roman"/>
          <w:sz w:val="22"/>
          <w:szCs w:val="22"/>
        </w:rPr>
      </w:pPr>
      <w:r w:rsidRPr="00B55C7B">
        <w:rPr>
          <w:rFonts w:ascii="Times New Roman" w:eastAsiaTheme="minorHAnsi" w:hAnsi="Times New Roman" w:cs="Times New Roman"/>
          <w:sz w:val="22"/>
          <w:szCs w:val="22"/>
        </w:rPr>
        <w:t xml:space="preserve">● Verification of the case, when notification is not from a medical health care provider: The PHA may wish to collaborate with the owner on this verification of an EBLL case, such as by agreeing with the owner to receive the information about the possible case. The PHA shall immediately verify the information with the public health department or other medical health care provider. </w:t>
      </w:r>
    </w:p>
    <w:p w14:paraId="5524BFCF" w14:textId="30695B3E" w:rsidR="00B55C7B" w:rsidRPr="00DD513C" w:rsidRDefault="00B55C7B" w:rsidP="00E46B58">
      <w:pPr>
        <w:pStyle w:val="PlainText"/>
        <w:rPr>
          <w:rFonts w:ascii="Times New Roman" w:eastAsiaTheme="minorHAnsi" w:hAnsi="Times New Roman" w:cs="Times New Roman"/>
          <w:sz w:val="22"/>
          <w:szCs w:val="22"/>
        </w:rPr>
      </w:pPr>
      <w:r w:rsidRPr="00B55C7B">
        <w:rPr>
          <w:rFonts w:ascii="Times New Roman" w:eastAsiaTheme="minorHAnsi" w:hAnsi="Times New Roman" w:cs="Times New Roman"/>
          <w:sz w:val="22"/>
          <w:szCs w:val="22"/>
        </w:rPr>
        <w:t>● Environmental Investigation: Conducting an environmental investigation of the child’s</w:t>
      </w:r>
    </w:p>
    <w:p w14:paraId="588F546A" w14:textId="77777777" w:rsidR="00E63DCB" w:rsidRPr="00B55C7B" w:rsidRDefault="00E63DCB" w:rsidP="00E46B58">
      <w:pPr>
        <w:pStyle w:val="PlainText"/>
        <w:rPr>
          <w:rFonts w:ascii="Times New Roman" w:eastAsiaTheme="minorHAnsi" w:hAnsi="Times New Roman" w:cs="Times New Roman"/>
          <w:sz w:val="22"/>
          <w:szCs w:val="22"/>
        </w:rPr>
      </w:pPr>
    </w:p>
    <w:p w14:paraId="0DA64811" w14:textId="77777777" w:rsidR="00ED4321" w:rsidRPr="00DD513C" w:rsidRDefault="00ED4321" w:rsidP="00E46B58">
      <w:pPr>
        <w:pStyle w:val="PlainText"/>
        <w:rPr>
          <w:rFonts w:ascii="Times New Roman" w:eastAsiaTheme="minorHAnsi" w:hAnsi="Times New Roman" w:cs="Times New Roman"/>
          <w:sz w:val="22"/>
          <w:szCs w:val="22"/>
        </w:rPr>
      </w:pPr>
    </w:p>
    <w:p w14:paraId="3F277AAF" w14:textId="77777777" w:rsidR="00203EA3" w:rsidRPr="00B55C7B" w:rsidRDefault="00E63DCB" w:rsidP="00203EA3">
      <w:pPr>
        <w:shd w:val="clear" w:color="auto" w:fill="FFFFFF"/>
        <w:spacing w:before="120" w:after="120" w:line="240" w:lineRule="atLeast"/>
        <w:jc w:val="center"/>
        <w:outlineLvl w:val="1"/>
        <w:rPr>
          <w:rFonts w:ascii="Times New Roman" w:hAnsi="Times New Roman" w:cs="Times New Roman"/>
        </w:rPr>
      </w:pPr>
      <w:r w:rsidRPr="00B55C7B">
        <w:rPr>
          <w:rFonts w:ascii="Times New Roman" w:hAnsi="Times New Roman" w:cs="Times New Roman"/>
        </w:rPr>
        <w:t xml:space="preserve">Broward County Health Department </w:t>
      </w:r>
      <w:r w:rsidR="00203EA3" w:rsidRPr="00B55C7B">
        <w:rPr>
          <w:rFonts w:ascii="Times New Roman" w:hAnsi="Times New Roman" w:cs="Times New Roman"/>
        </w:rPr>
        <w:t>954-467-4700</w:t>
      </w:r>
    </w:p>
    <w:p w14:paraId="689A627D" w14:textId="77777777" w:rsidR="00203EA3" w:rsidRPr="00DD513C" w:rsidRDefault="00203EA3" w:rsidP="00E46B58">
      <w:pPr>
        <w:pStyle w:val="PlainText"/>
        <w:rPr>
          <w:rFonts w:ascii="Times New Roman" w:eastAsiaTheme="minorHAnsi" w:hAnsi="Times New Roman" w:cs="Times New Roman"/>
          <w:sz w:val="22"/>
          <w:szCs w:val="22"/>
        </w:rPr>
      </w:pPr>
    </w:p>
    <w:sectPr w:rsidR="00203EA3" w:rsidRPr="00DD513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AE52B7" w14:textId="77777777" w:rsidR="00625F8C" w:rsidRDefault="00625F8C" w:rsidP="00B76183">
      <w:pPr>
        <w:spacing w:after="0" w:line="240" w:lineRule="auto"/>
      </w:pPr>
      <w:r>
        <w:separator/>
      </w:r>
    </w:p>
  </w:endnote>
  <w:endnote w:type="continuationSeparator" w:id="0">
    <w:p w14:paraId="0B3468C4" w14:textId="77777777" w:rsidR="00625F8C" w:rsidRDefault="00625F8C" w:rsidP="00B761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EAFFDF" w14:textId="77777777" w:rsidR="00B76183" w:rsidRDefault="00B761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C1BAEF" w14:textId="77777777" w:rsidR="00B76183" w:rsidRDefault="00B7618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C9C5FC" w14:textId="77777777" w:rsidR="00B76183" w:rsidRDefault="00B761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79A96F" w14:textId="77777777" w:rsidR="00625F8C" w:rsidRDefault="00625F8C" w:rsidP="00B76183">
      <w:pPr>
        <w:spacing w:after="0" w:line="240" w:lineRule="auto"/>
      </w:pPr>
      <w:r>
        <w:separator/>
      </w:r>
    </w:p>
  </w:footnote>
  <w:footnote w:type="continuationSeparator" w:id="0">
    <w:p w14:paraId="4C197049" w14:textId="77777777" w:rsidR="00625F8C" w:rsidRDefault="00625F8C" w:rsidP="00B761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96F318" w14:textId="77777777" w:rsidR="00B76183" w:rsidRDefault="00B761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54D947" w14:textId="77777777" w:rsidR="00B76183" w:rsidRDefault="00B76183" w:rsidP="00B76183">
    <w:pPr>
      <w:jc w:val="center"/>
      <w:rPr>
        <w:sz w:val="28"/>
        <w:szCs w:val="28"/>
        <w:u w:val="single"/>
      </w:rPr>
    </w:pPr>
    <w:r w:rsidRPr="00E46B58">
      <w:rPr>
        <w:sz w:val="28"/>
        <w:szCs w:val="28"/>
        <w:u w:val="single"/>
      </w:rPr>
      <w:t>Dania Beach Housing Authority Lead Based Paint Policy</w:t>
    </w:r>
  </w:p>
  <w:p w14:paraId="052061D9" w14:textId="77777777" w:rsidR="00B76183" w:rsidRDefault="00B7618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038EC6" w14:textId="77777777" w:rsidR="00B76183" w:rsidRDefault="00B7618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B58"/>
    <w:rsid w:val="000D06C3"/>
    <w:rsid w:val="00203EA3"/>
    <w:rsid w:val="00267CE7"/>
    <w:rsid w:val="002C35D7"/>
    <w:rsid w:val="00332D0C"/>
    <w:rsid w:val="00366122"/>
    <w:rsid w:val="003B0B12"/>
    <w:rsid w:val="003E31DA"/>
    <w:rsid w:val="0042332E"/>
    <w:rsid w:val="004665BC"/>
    <w:rsid w:val="005675C4"/>
    <w:rsid w:val="00625F8C"/>
    <w:rsid w:val="006A2FA8"/>
    <w:rsid w:val="0097092F"/>
    <w:rsid w:val="00AF4044"/>
    <w:rsid w:val="00B55C7B"/>
    <w:rsid w:val="00B76183"/>
    <w:rsid w:val="00DD513C"/>
    <w:rsid w:val="00E46B58"/>
    <w:rsid w:val="00E46DDA"/>
    <w:rsid w:val="00E63DCB"/>
    <w:rsid w:val="00ED4321"/>
    <w:rsid w:val="00F2762E"/>
    <w:rsid w:val="00F3353C"/>
    <w:rsid w:val="00F80A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38483"/>
  <w15:chartTrackingRefBased/>
  <w15:docId w15:val="{2C62EB0D-A451-4077-9238-8B188AF27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203EA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E46B58"/>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E46B58"/>
    <w:rPr>
      <w:rFonts w:ascii="Courier New" w:eastAsia="Times New Roman" w:hAnsi="Courier New" w:cs="Courier New"/>
      <w:sz w:val="20"/>
      <w:szCs w:val="20"/>
    </w:rPr>
  </w:style>
  <w:style w:type="character" w:customStyle="1" w:styleId="Heading2Char">
    <w:name w:val="Heading 2 Char"/>
    <w:basedOn w:val="DefaultParagraphFont"/>
    <w:link w:val="Heading2"/>
    <w:uiPriority w:val="9"/>
    <w:rsid w:val="00203EA3"/>
    <w:rPr>
      <w:rFonts w:ascii="Times New Roman" w:eastAsia="Times New Roman" w:hAnsi="Times New Roman" w:cs="Times New Roman"/>
      <w:b/>
      <w:bCs/>
      <w:sz w:val="36"/>
      <w:szCs w:val="36"/>
    </w:rPr>
  </w:style>
  <w:style w:type="paragraph" w:styleId="Header">
    <w:name w:val="header"/>
    <w:basedOn w:val="Normal"/>
    <w:link w:val="HeaderChar"/>
    <w:uiPriority w:val="99"/>
    <w:unhideWhenUsed/>
    <w:rsid w:val="00B761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6183"/>
  </w:style>
  <w:style w:type="paragraph" w:styleId="Footer">
    <w:name w:val="footer"/>
    <w:basedOn w:val="Normal"/>
    <w:link w:val="FooterChar"/>
    <w:uiPriority w:val="99"/>
    <w:unhideWhenUsed/>
    <w:rsid w:val="00B761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6183"/>
  </w:style>
  <w:style w:type="paragraph" w:styleId="BalloonText">
    <w:name w:val="Balloon Text"/>
    <w:basedOn w:val="Normal"/>
    <w:link w:val="BalloonTextChar"/>
    <w:uiPriority w:val="99"/>
    <w:semiHidden/>
    <w:unhideWhenUsed/>
    <w:rsid w:val="00DD51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513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5930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1342</Words>
  <Characters>7654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Castro</dc:creator>
  <cp:keywords/>
  <dc:description/>
  <cp:lastModifiedBy>Anne McManus-Castro</cp:lastModifiedBy>
  <cp:revision>2</cp:revision>
  <cp:lastPrinted>2022-10-31T14:05:00Z</cp:lastPrinted>
  <dcterms:created xsi:type="dcterms:W3CDTF">2024-05-29T16:45:00Z</dcterms:created>
  <dcterms:modified xsi:type="dcterms:W3CDTF">2024-05-29T16:45:00Z</dcterms:modified>
</cp:coreProperties>
</file>